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95CE" w14:textId="77777777" w:rsidR="00DD2EB3" w:rsidRPr="00DD2EB3" w:rsidRDefault="00DD2EB3" w:rsidP="00DD2EB3">
      <w:pPr>
        <w:shd w:val="clear" w:color="auto" w:fill="FCFCFC"/>
        <w:spacing w:before="300" w:after="150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8"/>
          <w:szCs w:val="78"/>
        </w:rPr>
      </w:pPr>
      <w:r w:rsidRPr="00DD2EB3">
        <w:rPr>
          <w:rFonts w:ascii="inherit" w:eastAsia="Times New Roman" w:hAnsi="inherit" w:cs="Times New Roman"/>
          <w:b/>
          <w:bCs/>
          <w:color w:val="000000"/>
          <w:kern w:val="36"/>
          <w:sz w:val="78"/>
          <w:szCs w:val="78"/>
        </w:rPr>
        <w:t>Philly Office Tower Rises With $187M in Construction Financing</w:t>
      </w:r>
    </w:p>
    <w:p w14:paraId="4CF4D63A" w14:textId="77777777" w:rsidR="00DD2EB3" w:rsidRPr="00DD2EB3" w:rsidRDefault="00DD2EB3" w:rsidP="00DD2EB3">
      <w:pPr>
        <w:shd w:val="clear" w:color="auto" w:fill="FCFCFC"/>
        <w:spacing w:after="225"/>
        <w:outlineLvl w:val="1"/>
        <w:rPr>
          <w:rFonts w:ascii="inherit" w:eastAsia="Times New Roman" w:hAnsi="inherit" w:cs="Times New Roman"/>
          <w:i/>
          <w:iCs/>
          <w:color w:val="000000"/>
          <w:sz w:val="33"/>
          <w:szCs w:val="33"/>
        </w:rPr>
      </w:pPr>
      <w:r w:rsidRPr="00DD2EB3">
        <w:rPr>
          <w:rFonts w:ascii="inherit" w:eastAsia="Times New Roman" w:hAnsi="inherit" w:cs="Times New Roman"/>
          <w:i/>
          <w:iCs/>
          <w:color w:val="000000"/>
          <w:sz w:val="33"/>
          <w:szCs w:val="33"/>
        </w:rPr>
        <w:t>The financing comprises a senior loan, mezzanine debt and a preferred equity component.</w:t>
      </w:r>
    </w:p>
    <w:p w14:paraId="67CB5977" w14:textId="77777777" w:rsidR="00DD2EB3" w:rsidRPr="00DD2EB3" w:rsidRDefault="00DD2EB3" w:rsidP="00DD2EB3">
      <w:pPr>
        <w:shd w:val="clear" w:color="auto" w:fill="FCFCFC"/>
        <w:spacing w:before="150" w:after="150"/>
        <w:outlineLvl w:val="5"/>
        <w:rPr>
          <w:rFonts w:ascii="inherit" w:eastAsia="Times New Roman" w:hAnsi="inherit" w:cs="Times New Roman"/>
          <w:b/>
          <w:bCs/>
          <w:caps/>
          <w:color w:val="A9A9A9"/>
          <w:sz w:val="21"/>
          <w:szCs w:val="21"/>
        </w:rPr>
      </w:pPr>
      <w:r w:rsidRPr="00DD2EB3">
        <w:rPr>
          <w:rFonts w:ascii="inherit" w:eastAsia="Times New Roman" w:hAnsi="inherit" w:cs="Times New Roman"/>
          <w:b/>
          <w:bCs/>
          <w:caps/>
          <w:color w:val="A9A9A9"/>
          <w:sz w:val="21"/>
          <w:szCs w:val="21"/>
        </w:rPr>
        <w:t>BY </w:t>
      </w:r>
      <w:hyperlink r:id="rId4" w:tooltip="Posts by Cathy Cunningham" w:history="1">
        <w:r w:rsidRPr="00DD2EB3">
          <w:rPr>
            <w:rFonts w:ascii="inherit" w:eastAsia="Times New Roman" w:hAnsi="inherit" w:cs="Times New Roman"/>
            <w:b/>
            <w:bCs/>
            <w:caps/>
            <w:color w:val="0077BB"/>
            <w:sz w:val="21"/>
            <w:szCs w:val="21"/>
            <w:u w:val="single"/>
          </w:rPr>
          <w:t>CATHY CUNNINGHAM</w:t>
        </w:r>
      </w:hyperlink>
      <w:r w:rsidRPr="00DD2EB3">
        <w:rPr>
          <w:rFonts w:ascii="inherit" w:eastAsia="Times New Roman" w:hAnsi="inherit" w:cs="Times New Roman"/>
          <w:b/>
          <w:bCs/>
          <w:caps/>
          <w:color w:val="A9A9A9"/>
          <w:sz w:val="21"/>
          <w:szCs w:val="21"/>
        </w:rPr>
        <w:t> AUGUST 11, 2020 11:43 AM</w:t>
      </w:r>
    </w:p>
    <w:p w14:paraId="0EE53AA8" w14:textId="03BB826E" w:rsidR="00DD2EB3" w:rsidRPr="00DD2EB3" w:rsidRDefault="00DD2EB3" w:rsidP="00DD2EB3">
      <w:pPr>
        <w:shd w:val="clear" w:color="auto" w:fill="EEEEEE"/>
        <w:rPr>
          <w:rFonts w:ascii="PT Sans Narrow" w:eastAsia="Times New Roman" w:hAnsi="PT Sans Narrow" w:cs="Times New Roman"/>
          <w:color w:val="404040"/>
          <w:sz w:val="21"/>
          <w:szCs w:val="21"/>
        </w:rPr>
      </w:pPr>
      <w:r w:rsidRPr="00DD2EB3">
        <w:rPr>
          <w:rFonts w:ascii="PT Sans Narrow" w:eastAsia="Times New Roman" w:hAnsi="PT Sans Narrow" w:cs="Times New Roman"/>
          <w:color w:val="404040"/>
          <w:sz w:val="21"/>
          <w:szCs w:val="21"/>
        </w:rPr>
        <w:fldChar w:fldCharType="begin"/>
      </w:r>
      <w:r w:rsidRPr="00DD2EB3">
        <w:rPr>
          <w:rFonts w:ascii="PT Sans Narrow" w:eastAsia="Times New Roman" w:hAnsi="PT Sans Narrow" w:cs="Times New Roman"/>
          <w:color w:val="404040"/>
          <w:sz w:val="21"/>
          <w:szCs w:val="21"/>
        </w:rPr>
        <w:instrText xml:space="preserve"> INCLUDEPICTURE "https://commercialobserver.com/wp-content/uploads/sites/3/2020/08/2222-Market.jpg?quality=80&amp;w=755" \* MERGEFORMATINET </w:instrText>
      </w:r>
      <w:r w:rsidRPr="00DD2EB3">
        <w:rPr>
          <w:rFonts w:ascii="PT Sans Narrow" w:eastAsia="Times New Roman" w:hAnsi="PT Sans Narrow" w:cs="Times New Roman"/>
          <w:color w:val="404040"/>
          <w:sz w:val="21"/>
          <w:szCs w:val="21"/>
        </w:rPr>
        <w:fldChar w:fldCharType="separate"/>
      </w:r>
      <w:r w:rsidRPr="00DD2EB3">
        <w:rPr>
          <w:rFonts w:ascii="PT Sans Narrow" w:eastAsia="Times New Roman" w:hAnsi="PT Sans Narrow" w:cs="Times New Roman"/>
          <w:noProof/>
          <w:color w:val="404040"/>
          <w:sz w:val="21"/>
          <w:szCs w:val="21"/>
        </w:rPr>
        <w:drawing>
          <wp:inline distT="0" distB="0" distL="0" distR="0" wp14:anchorId="06FE493A" wp14:editId="7869890C">
            <wp:extent cx="5943600" cy="3350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EB3">
        <w:rPr>
          <w:rFonts w:ascii="PT Sans Narrow" w:eastAsia="Times New Roman" w:hAnsi="PT Sans Narrow" w:cs="Times New Roman"/>
          <w:color w:val="404040"/>
          <w:sz w:val="21"/>
          <w:szCs w:val="21"/>
        </w:rPr>
        <w:fldChar w:fldCharType="end"/>
      </w:r>
    </w:p>
    <w:p w14:paraId="0B07ED1E" w14:textId="77777777" w:rsidR="00DD2EB3" w:rsidRPr="00DD2EB3" w:rsidRDefault="00A635BB" w:rsidP="00DD2EB3">
      <w:pPr>
        <w:shd w:val="clear" w:color="auto" w:fill="FCFCFC"/>
        <w:spacing w:before="300" w:after="300"/>
        <w:rPr>
          <w:rFonts w:ascii="PT Sans Narrow" w:eastAsia="Times New Roman" w:hAnsi="PT Sans Narrow" w:cs="Times New Roman"/>
          <w:color w:val="404040"/>
          <w:sz w:val="21"/>
          <w:szCs w:val="21"/>
        </w:rPr>
      </w:pPr>
      <w:r w:rsidRPr="00DD2EB3">
        <w:rPr>
          <w:rFonts w:ascii="PT Sans Narrow" w:eastAsia="Times New Roman" w:hAnsi="PT Sans Narrow" w:cs="Times New Roman"/>
          <w:noProof/>
          <w:color w:val="404040"/>
          <w:sz w:val="21"/>
          <w:szCs w:val="21"/>
        </w:rPr>
        <w:pict w14:anchorId="644BDBD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4C26D1" w14:textId="7E9214D8" w:rsidR="00DD2EB3" w:rsidRPr="00DD2EB3" w:rsidRDefault="00DD2EB3" w:rsidP="00F2304A">
      <w:pPr>
        <w:shd w:val="clear" w:color="auto" w:fill="FCFCFC"/>
        <w:spacing w:line="0" w:lineRule="auto"/>
        <w:rPr>
          <w:rFonts w:ascii="Helvetica Neue" w:eastAsia="Times New Roman" w:hAnsi="Helvetica Neue" w:cs="Times New Roman"/>
          <w:color w:val="FFFFFF"/>
          <w:sz w:val="2"/>
          <w:szCs w:val="2"/>
        </w:rPr>
      </w:pPr>
      <w:r w:rsidRPr="00DD2EB3">
        <w:rPr>
          <w:rFonts w:ascii="Helvetica" w:eastAsia="Times New Roman" w:hAnsi="Helvetica" w:cs="Times New Roman"/>
          <w:b/>
          <w:bCs/>
          <w:caps/>
          <w:color w:val="32363B"/>
          <w:sz w:val="17"/>
          <w:szCs w:val="17"/>
          <w:shd w:val="clear" w:color="auto" w:fill="EBEBEB"/>
        </w:rPr>
        <w:t>32</w:t>
      </w:r>
    </w:p>
    <w:p w14:paraId="4E79F98A" w14:textId="77777777" w:rsidR="00DD2EB3" w:rsidRPr="00DD2EB3" w:rsidRDefault="00DD2EB3" w:rsidP="00DD2EB3">
      <w:pPr>
        <w:shd w:val="clear" w:color="auto" w:fill="FCFCFC"/>
        <w:spacing w:before="360" w:after="150" w:line="480" w:lineRule="atLeast"/>
        <w:rPr>
          <w:rFonts w:ascii="PT Serif" w:eastAsia="Times New Roman" w:hAnsi="PT Serif" w:cs="Times New Roman"/>
          <w:color w:val="404040"/>
          <w:sz w:val="30"/>
          <w:szCs w:val="30"/>
        </w:rPr>
      </w:pP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Parkway Corporation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 has landed $187 million in financing for the ground-up construction of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2222 Market Street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 in Philadelphia, Commercial Observer has learned. </w:t>
      </w:r>
    </w:p>
    <w:p w14:paraId="63681E17" w14:textId="77777777" w:rsidR="00DD2EB3" w:rsidRPr="00DD2EB3" w:rsidRDefault="00DD2EB3" w:rsidP="00DD2EB3">
      <w:pPr>
        <w:shd w:val="clear" w:color="auto" w:fill="FCFCFC"/>
        <w:spacing w:before="360" w:after="150" w:line="480" w:lineRule="atLeast"/>
        <w:rPr>
          <w:rFonts w:ascii="PT Serif" w:eastAsia="Times New Roman" w:hAnsi="PT Serif" w:cs="Times New Roman"/>
          <w:color w:val="404040"/>
          <w:sz w:val="30"/>
          <w:szCs w:val="30"/>
        </w:rPr>
      </w:pP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lastRenderedPageBreak/>
        <w:t>The financing of the Class-A property comprised a senior loan, mezzanine debt and preferred equity. Sources told CO that the senior loan was provided by a syndicate of lenders that was led by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Citizens Bank 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and included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Santander Bank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, while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ACORE Capital 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 xml:space="preserve">provided the mezzanine component and the </w:t>
      </w:r>
      <w:proofErr w:type="spellStart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pref</w:t>
      </w:r>
      <w:proofErr w:type="spellEnd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 xml:space="preserve"> equity. </w:t>
      </w:r>
    </w:p>
    <w:p w14:paraId="2C574BD2" w14:textId="77777777" w:rsidR="00DD2EB3" w:rsidRPr="00DD2EB3" w:rsidRDefault="00DD2EB3" w:rsidP="00DD2EB3">
      <w:pPr>
        <w:shd w:val="clear" w:color="auto" w:fill="FCFCFC"/>
        <w:spacing w:before="360" w:after="150" w:line="480" w:lineRule="atLeast"/>
        <w:rPr>
          <w:rFonts w:ascii="PT Serif" w:eastAsia="Times New Roman" w:hAnsi="PT Serif" w:cs="Times New Roman"/>
          <w:color w:val="404040"/>
          <w:sz w:val="30"/>
          <w:szCs w:val="30"/>
        </w:rPr>
      </w:pP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 xml:space="preserve">Deal parties confirmed ACORE’s role but declined to comment on the senior syndicate. Officials at Citizens declined to </w:t>
      </w:r>
      <w:proofErr w:type="gramStart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comment</w:t>
      </w:r>
      <w:proofErr w:type="gramEnd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 xml:space="preserve"> and Santander representatives could not immediately be reached.</w:t>
      </w:r>
    </w:p>
    <w:p w14:paraId="2C048D9C" w14:textId="77777777" w:rsidR="00DD2EB3" w:rsidRPr="00DD2EB3" w:rsidRDefault="00DD2EB3" w:rsidP="00DD2EB3">
      <w:pPr>
        <w:shd w:val="clear" w:color="auto" w:fill="FCFCFC"/>
        <w:spacing w:before="360" w:after="150" w:line="480" w:lineRule="atLeast"/>
        <w:rPr>
          <w:rFonts w:ascii="PT Serif" w:eastAsia="Times New Roman" w:hAnsi="PT Serif" w:cs="Times New Roman"/>
          <w:color w:val="404040"/>
          <w:sz w:val="30"/>
          <w:szCs w:val="30"/>
        </w:rPr>
      </w:pP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Meridian Capital Group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’s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 xml:space="preserve">Morris </w:t>
      </w:r>
      <w:proofErr w:type="spellStart"/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Betesh</w:t>
      </w:r>
      <w:proofErr w:type="spellEnd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,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 Ronnie Levine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,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Phil Galligan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,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 xml:space="preserve">Thomas </w:t>
      </w:r>
      <w:proofErr w:type="spellStart"/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Wayda</w:t>
      </w:r>
      <w:proofErr w:type="spellEnd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 and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Omar Ferreira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 negotiated the financing. </w:t>
      </w:r>
    </w:p>
    <w:p w14:paraId="45B956BD" w14:textId="77777777" w:rsidR="00DD2EB3" w:rsidRPr="00DD2EB3" w:rsidRDefault="00DD2EB3" w:rsidP="00DD2EB3">
      <w:pPr>
        <w:shd w:val="clear" w:color="auto" w:fill="FCFCFC"/>
        <w:spacing w:before="360" w:after="150" w:line="480" w:lineRule="atLeast"/>
        <w:rPr>
          <w:rFonts w:ascii="PT Serif" w:eastAsia="Times New Roman" w:hAnsi="PT Serif" w:cs="Times New Roman"/>
          <w:color w:val="404040"/>
          <w:sz w:val="30"/>
          <w:szCs w:val="30"/>
        </w:rPr>
      </w:pP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Located in Philly’s Center City neighborhood, the 19-story, built-to-suit trophy office comprises 305,000 square feet and is pre-leased to law firm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Morgan, Lewis and Bockius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. When completed, its amenities will include a 3,500-square-foot fitness center, a rooftop terrace and a 50-space below-grade parking garage. </w:t>
      </w:r>
    </w:p>
    <w:p w14:paraId="72416BEC" w14:textId="77777777" w:rsidR="00DD2EB3" w:rsidRPr="00DD2EB3" w:rsidRDefault="00DD2EB3" w:rsidP="00DD2EB3">
      <w:pPr>
        <w:shd w:val="clear" w:color="auto" w:fill="FCFCFC"/>
        <w:spacing w:before="360" w:after="150" w:line="480" w:lineRule="atLeast"/>
        <w:rPr>
          <w:rFonts w:ascii="PT Serif" w:eastAsia="Times New Roman" w:hAnsi="PT Serif" w:cs="Times New Roman"/>
          <w:color w:val="404040"/>
          <w:sz w:val="30"/>
          <w:szCs w:val="30"/>
        </w:rPr>
      </w:pP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“This is going to be a tremendous project, and an important addition to a dynamic and vibrant Center City Philadelphia. We are thrilled to be a part of the deal, and more importantly, a part of the team, from Parkway Corporation and Morgan Lewis to Meridian Capital and our lending partners,”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Tony Fineman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 xml:space="preserve">, Head of Eastern Region Originations at ACORE, told CO. “This transaction is extra special to me, having grown up in Philadelphia. I attended college a few blocks 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lastRenderedPageBreak/>
        <w:t xml:space="preserve">away. We look forward to watching the progress of the development and seeing its inevitable </w:t>
      </w:r>
      <w:proofErr w:type="gramStart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success.“</w:t>
      </w:r>
      <w:proofErr w:type="gramEnd"/>
    </w:p>
    <w:p w14:paraId="52D61FB7" w14:textId="77777777" w:rsidR="00DD2EB3" w:rsidRPr="00DD2EB3" w:rsidRDefault="00DD2EB3" w:rsidP="00DD2EB3">
      <w:pPr>
        <w:shd w:val="clear" w:color="auto" w:fill="FCFCFC"/>
        <w:spacing w:before="360" w:after="150" w:line="480" w:lineRule="atLeast"/>
        <w:rPr>
          <w:rFonts w:ascii="PT Serif" w:eastAsia="Times New Roman" w:hAnsi="PT Serif" w:cs="Times New Roman"/>
          <w:color w:val="404040"/>
          <w:sz w:val="30"/>
          <w:szCs w:val="30"/>
        </w:rPr>
      </w:pP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Sitting close to City Hall and also the new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Comcast 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headquarters, the </w:t>
      </w:r>
      <w:r w:rsidRPr="00DD2EB3">
        <w:rPr>
          <w:rFonts w:ascii="PT Serif" w:eastAsia="Times New Roman" w:hAnsi="PT Serif" w:cs="Times New Roman"/>
          <w:b/>
          <w:bCs/>
          <w:color w:val="404040"/>
          <w:sz w:val="30"/>
          <w:szCs w:val="30"/>
        </w:rPr>
        <w:t>Gensler</w:t>
      </w: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-designed office property will be the first non-Comcast commercial office building in the city’s central business district in over 30 years. </w:t>
      </w:r>
    </w:p>
    <w:p w14:paraId="7B8B875E" w14:textId="77777777" w:rsidR="00DD2EB3" w:rsidRPr="00DD2EB3" w:rsidRDefault="00DD2EB3" w:rsidP="00DD2EB3">
      <w:pPr>
        <w:shd w:val="clear" w:color="auto" w:fill="FCFCFC"/>
        <w:spacing w:before="360" w:after="150" w:line="480" w:lineRule="atLeast"/>
        <w:rPr>
          <w:rFonts w:ascii="PT Serif" w:eastAsia="Times New Roman" w:hAnsi="PT Serif" w:cs="Times New Roman"/>
          <w:color w:val="404040"/>
          <w:sz w:val="30"/>
          <w:szCs w:val="30"/>
        </w:rPr>
      </w:pPr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 xml:space="preserve">“It was an honor to be a part of such a landmark transaction in the city of Philadelphia. The financing featured a multiple bank syndicate, arranged by Meridian, as well as mezzanine debt and a preferred equity component,” </w:t>
      </w:r>
      <w:proofErr w:type="spellStart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>Betesh</w:t>
      </w:r>
      <w:proofErr w:type="spellEnd"/>
      <w:r w:rsidRPr="00DD2EB3">
        <w:rPr>
          <w:rFonts w:ascii="PT Serif" w:eastAsia="Times New Roman" w:hAnsi="PT Serif" w:cs="Times New Roman"/>
          <w:color w:val="404040"/>
          <w:sz w:val="30"/>
          <w:szCs w:val="30"/>
        </w:rPr>
        <w:t xml:space="preserve"> said. “Needless to say, we had to thread a needle throughout the COVID crisis, however our lenders and capital partners stood by us the whole way, which is a testament to the quality of this project. With this closing, Parkway continues to cement itself as one of the preeminent developers continuing to transform the city of Philadelphia.”</w:t>
      </w:r>
    </w:p>
    <w:p w14:paraId="40195932" w14:textId="77777777" w:rsidR="001B4F29" w:rsidRDefault="001B4F29"/>
    <w:sectPr w:rsidR="001B4F29" w:rsidSect="008E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3"/>
    <w:rsid w:val="001B4F29"/>
    <w:rsid w:val="0085667B"/>
    <w:rsid w:val="008E3809"/>
    <w:rsid w:val="00A635BB"/>
    <w:rsid w:val="00DD2EB3"/>
    <w:rsid w:val="00F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A798"/>
  <w15:chartTrackingRefBased/>
  <w15:docId w15:val="{900CF72D-7E0D-9045-9A3A-A0ABD5AF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E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2E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DD2EB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2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DD2EB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D2EB3"/>
    <w:rPr>
      <w:color w:val="0000FF"/>
      <w:u w:val="single"/>
    </w:rPr>
  </w:style>
  <w:style w:type="character" w:customStyle="1" w:styleId="date">
    <w:name w:val="date"/>
    <w:basedOn w:val="DefaultParagraphFont"/>
    <w:rsid w:val="00DD2EB3"/>
  </w:style>
  <w:style w:type="character" w:customStyle="1" w:styleId="atflatcounter">
    <w:name w:val="at_flat_counter"/>
    <w:basedOn w:val="DefaultParagraphFont"/>
    <w:rsid w:val="00DD2EB3"/>
  </w:style>
  <w:style w:type="paragraph" w:styleId="NormalWeb">
    <w:name w:val="Normal (Web)"/>
    <w:basedOn w:val="Normal"/>
    <w:uiPriority w:val="99"/>
    <w:semiHidden/>
    <w:unhideWhenUsed/>
    <w:rsid w:val="00DD2E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D2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4761">
                  <w:marLeft w:val="0"/>
                  <w:marRight w:val="0"/>
                  <w:marTop w:val="450"/>
                  <w:marBottom w:val="450"/>
                  <w:divBdr>
                    <w:top w:val="single" w:sz="6" w:space="11" w:color="000000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ercialobserver.com/author/cathy-cunning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Foster</dc:creator>
  <cp:keywords/>
  <dc:description/>
  <cp:lastModifiedBy>Lana Foster</cp:lastModifiedBy>
  <cp:revision>2</cp:revision>
  <dcterms:created xsi:type="dcterms:W3CDTF">2020-08-12T19:26:00Z</dcterms:created>
  <dcterms:modified xsi:type="dcterms:W3CDTF">2020-08-12T20:02:00Z</dcterms:modified>
</cp:coreProperties>
</file>